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6A0971">
      <w:pPr>
        <w:spacing w:line="1" w:lineRule="exact"/>
        <w:jc w:val="left"/>
        <w:rPr>
          <w:rFonts w:eastAsia="Times New Roman"/>
          <w:color w:val="000000"/>
          <w:kern w:val="0"/>
          <w:sz w:val="2"/>
          <w:szCs w:val="2"/>
          <w:lang w:bidi="en-US"/>
        </w:rPr>
      </w:pPr>
    </w:p>
    <w:p w14:paraId="45566D27">
      <w:pPr>
        <w:spacing w:line="1" w:lineRule="exact"/>
        <w:jc w:val="left"/>
        <w:rPr>
          <w:rFonts w:eastAsia="Times New Roman"/>
          <w:color w:val="000000"/>
          <w:kern w:val="0"/>
          <w:sz w:val="2"/>
          <w:szCs w:val="2"/>
          <w:lang w:bidi="en-US"/>
        </w:rPr>
      </w:pPr>
    </w:p>
    <w:p w14:paraId="10456B99">
      <w:pPr>
        <w:spacing w:line="1" w:lineRule="exact"/>
        <w:jc w:val="left"/>
        <w:rPr>
          <w:rFonts w:eastAsia="Times New Roman"/>
          <w:color w:val="000000"/>
          <w:kern w:val="0"/>
          <w:sz w:val="2"/>
          <w:szCs w:val="2"/>
          <w:lang w:bidi="en-US"/>
        </w:rPr>
      </w:pPr>
    </w:p>
    <w:p w14:paraId="69D97103">
      <w:pPr>
        <w:spacing w:line="1" w:lineRule="exact"/>
        <w:jc w:val="left"/>
        <w:rPr>
          <w:rFonts w:eastAsia="Times New Roman"/>
          <w:color w:val="000000"/>
          <w:kern w:val="0"/>
          <w:sz w:val="2"/>
          <w:szCs w:val="2"/>
          <w:lang w:bidi="en-US"/>
        </w:rPr>
      </w:pPr>
    </w:p>
    <w:p w14:paraId="3C5F6ED5">
      <w:pPr>
        <w:spacing w:line="1" w:lineRule="exact"/>
        <w:jc w:val="left"/>
        <w:rPr>
          <w:rFonts w:eastAsia="Times New Roman"/>
          <w:color w:val="000000"/>
          <w:kern w:val="0"/>
          <w:sz w:val="2"/>
          <w:szCs w:val="2"/>
          <w:lang w:bidi="en-US"/>
        </w:rPr>
      </w:pPr>
    </w:p>
    <w:p w14:paraId="3A78DF9C">
      <w:pPr>
        <w:spacing w:line="1" w:lineRule="exact"/>
        <w:jc w:val="left"/>
        <w:rPr>
          <w:rFonts w:eastAsia="Times New Roman"/>
          <w:color w:val="000000"/>
          <w:kern w:val="0"/>
          <w:sz w:val="2"/>
          <w:szCs w:val="2"/>
          <w:lang w:bidi="en-US"/>
        </w:rPr>
      </w:pPr>
    </w:p>
    <w:p w14:paraId="03D7C99C">
      <w:pPr>
        <w:spacing w:line="1" w:lineRule="exact"/>
        <w:jc w:val="left"/>
        <w:rPr>
          <w:rFonts w:eastAsia="Times New Roman"/>
          <w:color w:val="000000"/>
          <w:kern w:val="0"/>
          <w:sz w:val="2"/>
          <w:szCs w:val="2"/>
          <w:lang w:bidi="en-US"/>
        </w:rPr>
      </w:pPr>
    </w:p>
    <w:tbl>
      <w:tblPr>
        <w:tblStyle w:val="6"/>
        <w:tblW w:w="9628"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43"/>
        <w:gridCol w:w="1108"/>
        <w:gridCol w:w="715"/>
        <w:gridCol w:w="7162"/>
      </w:tblGrid>
      <w:tr w14:paraId="1D9BAA49">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9628" w:type="dxa"/>
            <w:gridSpan w:val="4"/>
            <w:tcBorders>
              <w:top w:val="single" w:color="auto" w:sz="4" w:space="0"/>
              <w:left w:val="single" w:color="auto" w:sz="4" w:space="0"/>
              <w:bottom w:val="single" w:color="auto" w:sz="4" w:space="0"/>
              <w:right w:val="single" w:color="auto" w:sz="4" w:space="0"/>
            </w:tcBorders>
            <w:noWrap w:val="0"/>
            <w:vAlign w:val="top"/>
          </w:tcPr>
          <w:p w14:paraId="506494E6">
            <w:pPr>
              <w:keepNext w:val="0"/>
              <w:keepLines w:val="0"/>
              <w:pageBreakBefore w:val="0"/>
              <w:widowControl w:val="0"/>
              <w:kinsoku/>
              <w:wordWrap/>
              <w:overflowPunct/>
              <w:topLinePunct w:val="0"/>
              <w:autoSpaceDE/>
              <w:autoSpaceDN/>
              <w:bidi w:val="0"/>
              <w:adjustRightInd/>
              <w:snapToGrid w:val="0"/>
              <w:spacing w:line="400" w:lineRule="exact"/>
              <w:textAlignment w:val="auto"/>
              <w:outlineLvl w:val="0"/>
              <w:rPr>
                <w:rFonts w:hint="eastAsia" w:ascii="宋体" w:hAnsi="宋体" w:eastAsia="宋体" w:cs="宋体"/>
                <w:b/>
                <w:sz w:val="21"/>
                <w:szCs w:val="21"/>
              </w:rPr>
            </w:pPr>
            <w:bookmarkStart w:id="0" w:name="_Toc11197"/>
            <w:r>
              <w:rPr>
                <w:rFonts w:hint="eastAsia" w:ascii="宋体" w:hAnsi="宋体" w:eastAsia="宋体" w:cs="宋体"/>
                <w:b/>
                <w:sz w:val="21"/>
                <w:szCs w:val="21"/>
              </w:rPr>
              <w:t>一、项目要求及服务</w:t>
            </w:r>
            <w:bookmarkEnd w:id="0"/>
          </w:p>
        </w:tc>
      </w:tr>
      <w:tr w14:paraId="3ABCF49E">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643" w:type="dxa"/>
            <w:tcBorders>
              <w:top w:val="single" w:color="auto" w:sz="4" w:space="0"/>
              <w:left w:val="single" w:color="auto" w:sz="4" w:space="0"/>
              <w:bottom w:val="single" w:color="auto" w:sz="4" w:space="0"/>
              <w:right w:val="single" w:color="auto" w:sz="4" w:space="0"/>
            </w:tcBorders>
            <w:noWrap w:val="0"/>
            <w:vAlign w:val="center"/>
          </w:tcPr>
          <w:p w14:paraId="7391D57E">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0"/>
              <w:rPr>
                <w:rFonts w:hint="eastAsia" w:ascii="宋体" w:hAnsi="宋体" w:eastAsia="宋体" w:cs="宋体"/>
                <w:sz w:val="21"/>
                <w:szCs w:val="21"/>
              </w:rPr>
            </w:pPr>
            <w:bookmarkStart w:id="1" w:name="_Toc15347"/>
            <w:r>
              <w:rPr>
                <w:rFonts w:hint="eastAsia" w:ascii="宋体" w:hAnsi="宋体" w:eastAsia="宋体" w:cs="宋体"/>
                <w:sz w:val="21"/>
                <w:szCs w:val="21"/>
              </w:rPr>
              <w:t>序号</w:t>
            </w:r>
            <w:bookmarkEnd w:id="1"/>
          </w:p>
        </w:tc>
        <w:tc>
          <w:tcPr>
            <w:tcW w:w="1108" w:type="dxa"/>
            <w:tcBorders>
              <w:top w:val="single" w:color="auto" w:sz="4" w:space="0"/>
              <w:left w:val="single" w:color="auto" w:sz="4" w:space="0"/>
              <w:bottom w:val="single" w:color="auto" w:sz="4" w:space="0"/>
              <w:right w:val="single" w:color="auto" w:sz="4" w:space="0"/>
            </w:tcBorders>
            <w:noWrap w:val="0"/>
            <w:vAlign w:val="center"/>
          </w:tcPr>
          <w:p w14:paraId="0B2BBE2A">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0"/>
              <w:rPr>
                <w:rFonts w:hint="eastAsia" w:ascii="宋体" w:hAnsi="宋体" w:eastAsia="宋体" w:cs="宋体"/>
                <w:sz w:val="21"/>
                <w:szCs w:val="21"/>
              </w:rPr>
            </w:pPr>
            <w:bookmarkStart w:id="2" w:name="_Toc27198"/>
            <w:r>
              <w:rPr>
                <w:rFonts w:hint="eastAsia" w:ascii="宋体" w:hAnsi="宋体" w:eastAsia="宋体" w:cs="宋体"/>
                <w:sz w:val="21"/>
                <w:szCs w:val="21"/>
              </w:rPr>
              <w:t>服务名称</w:t>
            </w:r>
            <w:bookmarkEnd w:id="2"/>
          </w:p>
        </w:tc>
        <w:tc>
          <w:tcPr>
            <w:tcW w:w="715" w:type="dxa"/>
            <w:tcBorders>
              <w:top w:val="single" w:color="auto" w:sz="4" w:space="0"/>
              <w:left w:val="single" w:color="auto" w:sz="4" w:space="0"/>
              <w:bottom w:val="single" w:color="auto" w:sz="4" w:space="0"/>
              <w:right w:val="single" w:color="auto" w:sz="4" w:space="0"/>
            </w:tcBorders>
            <w:noWrap w:val="0"/>
            <w:vAlign w:val="center"/>
          </w:tcPr>
          <w:p w14:paraId="58D55F6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0"/>
              <w:rPr>
                <w:rFonts w:hint="eastAsia" w:ascii="宋体" w:hAnsi="宋体" w:eastAsia="宋体" w:cs="宋体"/>
                <w:sz w:val="21"/>
                <w:szCs w:val="21"/>
              </w:rPr>
            </w:pPr>
            <w:bookmarkStart w:id="3" w:name="_Toc31365"/>
            <w:r>
              <w:rPr>
                <w:rFonts w:hint="eastAsia" w:ascii="宋体" w:hAnsi="宋体" w:eastAsia="宋体" w:cs="宋体"/>
                <w:sz w:val="21"/>
                <w:szCs w:val="21"/>
              </w:rPr>
              <w:t>数量</w:t>
            </w:r>
            <w:bookmarkEnd w:id="3"/>
          </w:p>
        </w:tc>
        <w:tc>
          <w:tcPr>
            <w:tcW w:w="7162" w:type="dxa"/>
            <w:tcBorders>
              <w:top w:val="single" w:color="auto" w:sz="4" w:space="0"/>
              <w:left w:val="single" w:color="auto" w:sz="4" w:space="0"/>
              <w:bottom w:val="single" w:color="auto" w:sz="4" w:space="0"/>
              <w:right w:val="single" w:color="auto" w:sz="4" w:space="0"/>
            </w:tcBorders>
            <w:noWrap w:val="0"/>
            <w:vAlign w:val="center"/>
          </w:tcPr>
          <w:p w14:paraId="6964F35B">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0"/>
              <w:rPr>
                <w:rFonts w:hint="eastAsia" w:ascii="宋体" w:hAnsi="宋体" w:eastAsia="宋体" w:cs="宋体"/>
                <w:sz w:val="21"/>
                <w:szCs w:val="21"/>
              </w:rPr>
            </w:pPr>
            <w:bookmarkStart w:id="4" w:name="_Toc4200"/>
            <w:r>
              <w:rPr>
                <w:rFonts w:hint="eastAsia" w:ascii="宋体" w:hAnsi="宋体" w:eastAsia="宋体" w:cs="宋体"/>
                <w:sz w:val="21"/>
                <w:szCs w:val="21"/>
              </w:rPr>
              <w:t>服务内容和要求</w:t>
            </w:r>
            <w:bookmarkEnd w:id="4"/>
            <w:r>
              <w:rPr>
                <w:rFonts w:hint="eastAsia" w:ascii="宋体" w:hAnsi="宋体" w:eastAsia="宋体" w:cs="宋体"/>
                <w:sz w:val="21"/>
                <w:szCs w:val="21"/>
              </w:rPr>
              <w:t>（技术要求）</w:t>
            </w:r>
          </w:p>
        </w:tc>
      </w:tr>
      <w:tr w14:paraId="48394991">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125" w:hRule="atLeast"/>
          <w:jc w:val="center"/>
        </w:trPr>
        <w:tc>
          <w:tcPr>
            <w:tcW w:w="643" w:type="dxa"/>
            <w:tcBorders>
              <w:left w:val="single" w:color="auto" w:sz="4" w:space="0"/>
              <w:bottom w:val="single" w:color="auto" w:sz="4" w:space="0"/>
              <w:right w:val="single" w:color="auto" w:sz="4" w:space="0"/>
            </w:tcBorders>
            <w:noWrap w:val="0"/>
            <w:vAlign w:val="center"/>
          </w:tcPr>
          <w:p w14:paraId="29A83C27">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1"/>
                <w:szCs w:val="21"/>
              </w:rPr>
            </w:pPr>
            <w:r>
              <w:rPr>
                <w:rFonts w:hint="eastAsia" w:ascii="宋体" w:hAnsi="宋体" w:eastAsia="宋体" w:cs="宋体"/>
                <w:sz w:val="21"/>
                <w:szCs w:val="21"/>
              </w:rPr>
              <w:t>1</w:t>
            </w:r>
          </w:p>
        </w:tc>
        <w:tc>
          <w:tcPr>
            <w:tcW w:w="1108" w:type="dxa"/>
            <w:tcBorders>
              <w:left w:val="single" w:color="auto" w:sz="4" w:space="0"/>
              <w:bottom w:val="single" w:color="auto" w:sz="4" w:space="0"/>
              <w:right w:val="single" w:color="auto" w:sz="4" w:space="0"/>
            </w:tcBorders>
            <w:noWrap w:val="0"/>
            <w:vAlign w:val="center"/>
          </w:tcPr>
          <w:p w14:paraId="45E3FB2C">
            <w:pPr>
              <w:keepNext w:val="0"/>
              <w:keepLines w:val="0"/>
              <w:pageBreakBefore w:val="0"/>
              <w:widowControl w:val="0"/>
              <w:kinsoku/>
              <w:wordWrap/>
              <w:overflowPunct/>
              <w:topLinePunct w:val="0"/>
              <w:autoSpaceDE/>
              <w:autoSpaceDN/>
              <w:bidi w:val="0"/>
              <w:adjustRightInd/>
              <w:spacing w:line="400" w:lineRule="exact"/>
              <w:jc w:val="center"/>
              <w:textAlignment w:val="auto"/>
              <w:rPr>
                <w:rFonts w:hint="eastAsia" w:ascii="宋体" w:hAnsi="宋体" w:eastAsia="宋体" w:cs="宋体"/>
                <w:sz w:val="21"/>
                <w:szCs w:val="21"/>
                <w:lang w:eastAsia="zh-CN"/>
              </w:rPr>
            </w:pPr>
            <w:r>
              <w:rPr>
                <w:rFonts w:hint="eastAsia" w:ascii="宋体" w:hAnsi="宋体" w:eastAsia="宋体" w:cs="宋体"/>
                <w:sz w:val="21"/>
                <w:szCs w:val="21"/>
                <w:lang w:eastAsia="zh-CN"/>
              </w:rPr>
              <w:t>医疗设备质量安全运行维护服务</w:t>
            </w:r>
          </w:p>
        </w:tc>
        <w:tc>
          <w:tcPr>
            <w:tcW w:w="715" w:type="dxa"/>
            <w:tcBorders>
              <w:left w:val="single" w:color="auto" w:sz="4" w:space="0"/>
              <w:bottom w:val="single" w:color="auto" w:sz="4" w:space="0"/>
              <w:right w:val="single" w:color="auto" w:sz="4" w:space="0"/>
            </w:tcBorders>
            <w:noWrap w:val="0"/>
            <w:vAlign w:val="center"/>
          </w:tcPr>
          <w:p w14:paraId="44F64982">
            <w:pPr>
              <w:keepNext w:val="0"/>
              <w:keepLines w:val="0"/>
              <w:pageBreakBefore w:val="0"/>
              <w:widowControl w:val="0"/>
              <w:kinsoku/>
              <w:wordWrap/>
              <w:overflowPunct/>
              <w:topLinePunct w:val="0"/>
              <w:autoSpaceDE/>
              <w:autoSpaceDN/>
              <w:bidi w:val="0"/>
              <w:adjustRightInd/>
              <w:snapToGrid w:val="0"/>
              <w:spacing w:line="400" w:lineRule="exact"/>
              <w:jc w:val="center"/>
              <w:textAlignment w:val="auto"/>
              <w:outlineLvl w:val="0"/>
              <w:rPr>
                <w:rFonts w:hint="eastAsia" w:ascii="宋体" w:hAnsi="宋体" w:eastAsia="宋体" w:cs="宋体"/>
                <w:sz w:val="21"/>
                <w:szCs w:val="21"/>
              </w:rPr>
            </w:pPr>
            <w:r>
              <w:rPr>
                <w:rFonts w:hint="eastAsia" w:ascii="宋体" w:hAnsi="宋体" w:eastAsia="宋体" w:cs="宋体"/>
                <w:sz w:val="21"/>
                <w:szCs w:val="21"/>
              </w:rPr>
              <w:t>1项</w:t>
            </w:r>
          </w:p>
        </w:tc>
        <w:tc>
          <w:tcPr>
            <w:tcW w:w="7162" w:type="dxa"/>
            <w:tcBorders>
              <w:top w:val="single" w:color="auto" w:sz="4" w:space="0"/>
              <w:left w:val="single" w:color="auto" w:sz="4" w:space="0"/>
              <w:right w:val="single" w:color="auto" w:sz="4" w:space="0"/>
            </w:tcBorders>
            <w:noWrap w:val="0"/>
            <w:vAlign w:val="center"/>
          </w:tcPr>
          <w:p w14:paraId="772523A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一、人员、场地、设备要求：</w:t>
            </w:r>
          </w:p>
          <w:p w14:paraId="715E9D01">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1、提供医疗设备专业技术服务培训；（培训讲师至少接受过一家设备厂家专业技术培训，</w:t>
            </w:r>
            <w:r>
              <w:rPr>
                <w:rFonts w:hint="eastAsia" w:ascii="宋体" w:hAnsi="宋体" w:eastAsia="宋体" w:cs="宋体"/>
                <w:sz w:val="21"/>
                <w:szCs w:val="21"/>
                <w:lang w:val="en-US" w:eastAsia="zh-CN"/>
              </w:rPr>
              <w:t>提供</w:t>
            </w:r>
            <w:r>
              <w:rPr>
                <w:rFonts w:hint="eastAsia" w:ascii="宋体" w:hAnsi="宋体" w:eastAsia="宋体" w:cs="宋体"/>
                <w:sz w:val="21"/>
                <w:szCs w:val="21"/>
              </w:rPr>
              <w:t>有培训证书）。</w:t>
            </w:r>
          </w:p>
          <w:p w14:paraId="68A9E169">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在广西区内有或者承诺中标后在广西区内设立工作机构或授权服务机构，应至少建立备件库，有设备仓库，保证有能力支持医院进行医疗设备维修、维护和管理服务，以提高设备的维修效率。（提供相关证明材料，以及配件与备件机清单）。</w:t>
            </w:r>
          </w:p>
          <w:p w14:paraId="13E34873">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3、公司拥有医疗设备专业技术人员至少10名（派驻人员应具备大专及以上学历或三年以上设备维护工作经验，并提供学历证明、半年内三个月缴纳的社保证明材料）。</w:t>
            </w:r>
          </w:p>
          <w:p w14:paraId="49238B00">
            <w:pPr>
              <w:pStyle w:val="4"/>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4</w:t>
            </w:r>
            <w:r>
              <w:rPr>
                <w:rFonts w:hint="eastAsia" w:ascii="宋体" w:hAnsi="宋体" w:eastAsia="宋体" w:cs="宋体"/>
                <w:sz w:val="21"/>
                <w:szCs w:val="21"/>
                <w:lang w:val="en-US" w:eastAsia="zh-CN"/>
              </w:rPr>
              <w:t>、</w:t>
            </w:r>
            <w:r>
              <w:rPr>
                <w:rFonts w:hint="eastAsia" w:ascii="宋体" w:hAnsi="宋体" w:eastAsia="宋体" w:cs="宋体"/>
                <w:sz w:val="21"/>
                <w:szCs w:val="21"/>
              </w:rPr>
              <w:t>派驻至本院的工程师团队中，至少需有5人满足下列条件之一：</w:t>
            </w:r>
          </w:p>
          <w:p w14:paraId="460BE5E8">
            <w:pPr>
              <w:pStyle w:val="4"/>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①</w:t>
            </w:r>
            <w:r>
              <w:rPr>
                <w:rFonts w:hint="eastAsia" w:ascii="宋体" w:hAnsi="宋体" w:eastAsia="宋体" w:cs="宋体"/>
                <w:sz w:val="21"/>
                <w:szCs w:val="21"/>
              </w:rPr>
              <w:t>取得</w:t>
            </w:r>
            <w:r>
              <w:rPr>
                <w:rFonts w:hint="eastAsia" w:ascii="宋体" w:hAnsi="宋体" w:eastAsia="宋体" w:cs="宋体"/>
                <w:sz w:val="21"/>
                <w:szCs w:val="21"/>
                <w:lang w:val="en-US" w:eastAsia="zh-CN"/>
              </w:rPr>
              <w:t>国家</w:t>
            </w:r>
            <w:r>
              <w:rPr>
                <w:rFonts w:hint="eastAsia" w:ascii="宋体" w:hAnsi="宋体" w:eastAsia="宋体" w:cs="宋体"/>
                <w:sz w:val="21"/>
                <w:szCs w:val="21"/>
              </w:rPr>
              <w:t>行政部门认可的工程师或技师类职称；</w:t>
            </w:r>
          </w:p>
          <w:p w14:paraId="6F3F021C">
            <w:pPr>
              <w:pStyle w:val="4"/>
              <w:spacing w:line="400" w:lineRule="exact"/>
              <w:ind w:firstLine="0" w:firstLineChars="0"/>
              <w:rPr>
                <w:rFonts w:hint="eastAsia" w:ascii="宋体" w:hAnsi="宋体" w:eastAsia="宋体" w:cs="宋体"/>
                <w:sz w:val="21"/>
                <w:szCs w:val="21"/>
              </w:rPr>
            </w:pPr>
            <w:r>
              <w:rPr>
                <w:rFonts w:hint="eastAsia" w:ascii="宋体" w:hAnsi="宋体" w:eastAsia="宋体" w:cs="宋体"/>
                <w:sz w:val="21"/>
                <w:szCs w:val="21"/>
                <w:lang w:val="en-US" w:eastAsia="zh-CN"/>
              </w:rPr>
              <w:t>②</w:t>
            </w:r>
            <w:r>
              <w:rPr>
                <w:rFonts w:hint="eastAsia" w:ascii="宋体" w:hAnsi="宋体" w:eastAsia="宋体" w:cs="宋体"/>
                <w:sz w:val="21"/>
                <w:szCs w:val="21"/>
              </w:rPr>
              <w:t>持有</w:t>
            </w:r>
            <w:r>
              <w:rPr>
                <w:rFonts w:hint="eastAsia" w:ascii="宋体" w:hAnsi="宋体" w:eastAsia="宋体" w:cs="宋体"/>
                <w:sz w:val="21"/>
                <w:szCs w:val="21"/>
                <w:lang w:val="en-US" w:eastAsia="zh-CN"/>
              </w:rPr>
              <w:t>国家</w:t>
            </w:r>
            <w:r>
              <w:rPr>
                <w:rFonts w:hint="eastAsia" w:ascii="宋体" w:hAnsi="宋体" w:eastAsia="宋体" w:cs="宋体"/>
                <w:sz w:val="21"/>
                <w:szCs w:val="21"/>
              </w:rPr>
              <w:t>行政部门颁发或</w:t>
            </w:r>
            <w:r>
              <w:rPr>
                <w:rFonts w:hint="eastAsia" w:ascii="宋体" w:hAnsi="宋体" w:eastAsia="宋体" w:cs="宋体"/>
                <w:sz w:val="21"/>
                <w:szCs w:val="21"/>
                <w:lang w:val="en-US" w:eastAsia="zh-CN"/>
              </w:rPr>
              <w:t>其</w:t>
            </w:r>
            <w:r>
              <w:rPr>
                <w:rFonts w:hint="eastAsia" w:ascii="宋体" w:hAnsi="宋体" w:eastAsia="宋体" w:cs="宋体"/>
                <w:sz w:val="21"/>
                <w:szCs w:val="21"/>
              </w:rPr>
              <w:t>授权机构核发的“医疗设备维护/管理”相关领域职业资格证书或专项能力证书</w:t>
            </w:r>
            <w:r>
              <w:rPr>
                <w:rFonts w:hint="eastAsia" w:ascii="宋体" w:hAnsi="宋体" w:eastAsia="宋体" w:cs="宋体"/>
                <w:sz w:val="21"/>
                <w:szCs w:val="21"/>
                <w:lang w:eastAsia="zh-CN"/>
              </w:rPr>
              <w:t>（国家人力资源和社会保障部门或其授权的职业技能鉴定机构统一颁发，属于国家认可的职业技能评价体系</w:t>
            </w:r>
            <w:r>
              <w:rPr>
                <w:rFonts w:hint="eastAsia" w:ascii="宋体" w:hAnsi="宋体" w:eastAsia="宋体" w:cs="宋体"/>
                <w:sz w:val="21"/>
                <w:szCs w:val="21"/>
                <w:lang w:val="en-US" w:eastAsia="zh-CN"/>
              </w:rPr>
              <w:t>的均可</w:t>
            </w:r>
            <w:r>
              <w:rPr>
                <w:rFonts w:hint="eastAsia" w:ascii="宋体" w:hAnsi="宋体" w:eastAsia="宋体" w:cs="宋体"/>
                <w:sz w:val="21"/>
                <w:szCs w:val="21"/>
                <w:lang w:eastAsia="zh-CN"/>
              </w:rPr>
              <w:t>）</w:t>
            </w:r>
            <w:r>
              <w:rPr>
                <w:rFonts w:hint="eastAsia" w:ascii="宋体" w:hAnsi="宋体" w:eastAsia="宋体" w:cs="宋体"/>
                <w:sz w:val="21"/>
                <w:szCs w:val="21"/>
              </w:rPr>
              <w:t>。</w:t>
            </w:r>
          </w:p>
          <w:p w14:paraId="13717271">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5、提供7×24小时服务热线电话。</w:t>
            </w:r>
          </w:p>
          <w:p w14:paraId="2B74AD5B">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6、提供一套医疗设备信息化管理软件供医院使用，</w:t>
            </w:r>
            <w:r>
              <w:rPr>
                <w:rFonts w:hint="eastAsia" w:ascii="宋体" w:hAnsi="宋体" w:eastAsia="宋体" w:cs="宋体"/>
                <w:sz w:val="21"/>
                <w:szCs w:val="21"/>
                <w:lang w:val="en-US" w:eastAsia="zh-CN"/>
              </w:rPr>
              <w:t>采用院内部署模式，</w:t>
            </w:r>
            <w:r>
              <w:rPr>
                <w:rFonts w:hint="eastAsia" w:ascii="宋体" w:hAnsi="宋体" w:eastAsia="宋体" w:cs="宋体"/>
                <w:sz w:val="21"/>
                <w:szCs w:val="21"/>
              </w:rPr>
              <w:t>服务期内不收取系统维护费用，服务期结束后，医院</w:t>
            </w:r>
            <w:r>
              <w:rPr>
                <w:rFonts w:hint="eastAsia" w:ascii="宋体" w:hAnsi="宋体" w:eastAsia="宋体" w:cs="宋体"/>
                <w:sz w:val="21"/>
                <w:szCs w:val="21"/>
                <w:lang w:val="en-US" w:eastAsia="zh-CN"/>
              </w:rPr>
              <w:t>系统归医院所有</w:t>
            </w:r>
            <w:r>
              <w:rPr>
                <w:rFonts w:hint="eastAsia" w:ascii="宋体" w:hAnsi="宋体" w:eastAsia="宋体" w:cs="宋体"/>
                <w:sz w:val="21"/>
                <w:szCs w:val="21"/>
              </w:rPr>
              <w:t>，系统维护费用不高于</w:t>
            </w:r>
            <w:r>
              <w:rPr>
                <w:rFonts w:hint="eastAsia" w:ascii="宋体" w:hAnsi="宋体" w:eastAsia="宋体" w:cs="宋体"/>
                <w:sz w:val="21"/>
                <w:szCs w:val="21"/>
                <w:lang w:val="en-US" w:eastAsia="zh-CN"/>
              </w:rPr>
              <w:t>2</w:t>
            </w:r>
            <w:r>
              <w:rPr>
                <w:rFonts w:hint="eastAsia" w:ascii="宋体" w:hAnsi="宋体" w:eastAsia="宋体" w:cs="宋体"/>
                <w:sz w:val="21"/>
                <w:szCs w:val="21"/>
              </w:rPr>
              <w:t>万元/年，具体金额另议。</w:t>
            </w:r>
          </w:p>
          <w:p w14:paraId="08D1022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二、服务主要内容：</w:t>
            </w:r>
          </w:p>
          <w:p w14:paraId="29A15039">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1、派驻不少于7名专业技术人员常驻医院，协助</w:t>
            </w:r>
            <w:r>
              <w:rPr>
                <w:rFonts w:hint="eastAsia" w:ascii="宋体" w:hAnsi="宋体" w:eastAsia="宋体" w:cs="宋体"/>
                <w:sz w:val="21"/>
                <w:szCs w:val="21"/>
                <w:lang w:eastAsia="zh-CN"/>
              </w:rPr>
              <w:t>医学工程部门</w:t>
            </w:r>
            <w:r>
              <w:rPr>
                <w:rFonts w:hint="eastAsia" w:ascii="宋体" w:hAnsi="宋体" w:eastAsia="宋体" w:cs="宋体"/>
                <w:sz w:val="21"/>
                <w:szCs w:val="21"/>
                <w:lang w:val="en-US" w:eastAsia="zh-CN"/>
              </w:rPr>
              <w:t>人员</w:t>
            </w:r>
            <w:r>
              <w:rPr>
                <w:rFonts w:hint="eastAsia" w:ascii="宋体" w:hAnsi="宋体" w:eastAsia="宋体" w:cs="宋体"/>
                <w:sz w:val="21"/>
                <w:szCs w:val="21"/>
              </w:rPr>
              <w:t>进行医疗设备全生命周期质量安全维护管理。</w:t>
            </w:r>
          </w:p>
          <w:p w14:paraId="628868F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2、提供</w:t>
            </w:r>
            <w:r>
              <w:rPr>
                <w:rFonts w:hint="eastAsia" w:ascii="宋体" w:hAnsi="宋体" w:eastAsia="宋体" w:cs="宋体"/>
                <w:sz w:val="21"/>
                <w:szCs w:val="21"/>
                <w:lang w:val="en-US" w:eastAsia="zh-CN"/>
              </w:rPr>
              <w:t>的</w:t>
            </w:r>
            <w:r>
              <w:rPr>
                <w:rFonts w:hint="eastAsia" w:ascii="宋体" w:hAnsi="宋体" w:eastAsia="宋体" w:cs="宋体"/>
                <w:sz w:val="21"/>
                <w:szCs w:val="21"/>
              </w:rPr>
              <w:t>医疗设备信息化管理软件，</w:t>
            </w:r>
            <w:r>
              <w:rPr>
                <w:rFonts w:hint="eastAsia" w:ascii="宋体" w:hAnsi="宋体" w:eastAsia="宋体" w:cs="宋体"/>
                <w:sz w:val="21"/>
                <w:szCs w:val="21"/>
                <w:lang w:val="en-US" w:eastAsia="zh-CN"/>
              </w:rPr>
              <w:t>具备</w:t>
            </w:r>
            <w:r>
              <w:rPr>
                <w:rFonts w:hint="eastAsia" w:ascii="宋体" w:hAnsi="宋体" w:eastAsia="宋体" w:cs="宋体"/>
                <w:sz w:val="21"/>
                <w:szCs w:val="21"/>
              </w:rPr>
              <w:t>资产管理查询、扫码报修、维修费用审批、医疗设备效益分析、风险评估、设备巡检</w:t>
            </w:r>
            <w:r>
              <w:rPr>
                <w:rFonts w:hint="eastAsia" w:ascii="宋体" w:hAnsi="宋体" w:eastAsia="宋体" w:cs="宋体"/>
                <w:sz w:val="21"/>
                <w:szCs w:val="21"/>
                <w:lang w:eastAsia="zh-CN"/>
              </w:rPr>
              <w:t>、</w:t>
            </w:r>
            <w:r>
              <w:rPr>
                <w:rFonts w:hint="eastAsia" w:ascii="宋体" w:hAnsi="宋体" w:eastAsia="宋体" w:cs="宋体"/>
                <w:sz w:val="21"/>
                <w:szCs w:val="21"/>
              </w:rPr>
              <w:t>保养</w:t>
            </w:r>
            <w:r>
              <w:rPr>
                <w:rFonts w:hint="eastAsia" w:ascii="宋体" w:hAnsi="宋体" w:eastAsia="宋体" w:cs="宋体"/>
                <w:sz w:val="21"/>
                <w:szCs w:val="21"/>
                <w:lang w:eastAsia="zh-CN"/>
              </w:rPr>
              <w:t>、</w:t>
            </w:r>
            <w:r>
              <w:rPr>
                <w:rFonts w:hint="eastAsia" w:ascii="宋体" w:hAnsi="宋体" w:eastAsia="宋体" w:cs="宋体"/>
                <w:sz w:val="21"/>
                <w:szCs w:val="21"/>
                <w:lang w:val="en-US" w:eastAsia="zh-CN"/>
              </w:rPr>
              <w:t>医疗器械不良事件上报等</w:t>
            </w:r>
            <w:r>
              <w:rPr>
                <w:rFonts w:hint="eastAsia" w:ascii="宋体" w:hAnsi="宋体" w:eastAsia="宋体" w:cs="宋体"/>
                <w:sz w:val="21"/>
                <w:szCs w:val="21"/>
              </w:rPr>
              <w:t>功能，手机端可查看效益分析概况（提供各功能证明材料）。</w:t>
            </w:r>
          </w:p>
          <w:p w14:paraId="272F737C">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3、协助医院</w:t>
            </w:r>
            <w:r>
              <w:rPr>
                <w:rFonts w:hint="eastAsia" w:ascii="宋体" w:hAnsi="宋体" w:eastAsia="宋体" w:cs="宋体"/>
                <w:sz w:val="21"/>
                <w:szCs w:val="21"/>
                <w:lang w:eastAsia="zh-CN"/>
              </w:rPr>
              <w:t>医学工程部门</w:t>
            </w:r>
            <w:r>
              <w:rPr>
                <w:rFonts w:hint="eastAsia" w:ascii="宋体" w:hAnsi="宋体" w:eastAsia="宋体" w:cs="宋体"/>
                <w:sz w:val="21"/>
                <w:szCs w:val="21"/>
              </w:rPr>
              <w:t>人员以科室为单位，对每台设备信息、使用状况进行重新排查、做实物与数据对照盘点，整理及完善设备的型号、编号、生产日期、厂家、产地等相关资料。</w:t>
            </w:r>
          </w:p>
          <w:p w14:paraId="06F0172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4、协助医院设备管理部门按国家卫生部门要求建立风险管理机制，对医院医疗设备进行风险评估并制订设备巡检及维护保养计划：</w:t>
            </w:r>
          </w:p>
          <w:p w14:paraId="1B18002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风险评估：所有医疗设备每年度一次；根据设备使用年限、维修次数（故障频率）和更换配件的统计，相关计量检测和校准结果等方面的安全监测报告等，采用科学方法综合评判医疗设备的风险水平，作为医院实施预防性维护及更新和淘汰设备的参考依据。</w:t>
            </w:r>
          </w:p>
          <w:p w14:paraId="559E152B">
            <w:pPr>
              <w:spacing w:line="360" w:lineRule="auto"/>
              <w:outlineLvl w:val="0"/>
              <w:rPr>
                <w:rFonts w:hint="eastAsia" w:ascii="宋体" w:hAnsi="宋体" w:cs="宋体"/>
              </w:rPr>
            </w:pPr>
            <w:bookmarkStart w:id="5" w:name="_Toc31620"/>
            <w:r>
              <w:rPr>
                <w:rFonts w:hint="eastAsia" w:ascii="宋体" w:hAnsi="宋体" w:cs="宋体"/>
              </w:rPr>
              <w:t>5、协助医院按国家相关监管部门要求建立设备档案，建档资料包括但不限于以下资料：</w:t>
            </w:r>
            <w:bookmarkEnd w:id="5"/>
          </w:p>
          <w:p w14:paraId="602662A3">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（1）合同及产品资质证书</w:t>
            </w:r>
          </w:p>
          <w:p w14:paraId="4B57F363">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（2）供应商授权资质证书</w:t>
            </w:r>
          </w:p>
          <w:p w14:paraId="351DED7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（3）医疗设备安装、培训、售后人员资格确认书</w:t>
            </w:r>
          </w:p>
          <w:p w14:paraId="5EFF6737">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（4）医疗设备培训考核记录表</w:t>
            </w:r>
          </w:p>
          <w:p w14:paraId="57DDD751">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（5）医疗设备验收表</w:t>
            </w:r>
          </w:p>
          <w:p w14:paraId="6CABCD86">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（6）医疗设备风险评估表</w:t>
            </w:r>
          </w:p>
          <w:p w14:paraId="0217408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（7）医疗设备操作规程</w:t>
            </w:r>
          </w:p>
          <w:p w14:paraId="21CA9F6C">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（8）医疗设备验收测试报告</w:t>
            </w:r>
          </w:p>
          <w:p w14:paraId="5E63AEE0">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6、整理医院近三年的维保、维修、计量等相关资料。</w:t>
            </w:r>
          </w:p>
          <w:p w14:paraId="3E9C272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7、协助医院完成设备的一级、二级、三级保养。</w:t>
            </w:r>
          </w:p>
          <w:p w14:paraId="7C13C16C">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医院医疗设备预防性维护通常由三级维护保养模式实施完成，俗称为三级保养体系，即一级保养、二级保养和三级保养，各级维护保养周期、内容及实施要求如下:</w:t>
            </w:r>
          </w:p>
          <w:p w14:paraId="7EA03C96">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（1）日常一级保养——临床科室</w:t>
            </w:r>
          </w:p>
          <w:p w14:paraId="50E96131">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内容主要包括对设备进行除尘、清洁、消毒和基本参数校正。这项工作是设备预防性维护工作的基础，应由临床科室设备操作管理人员完成，一般每天进行，或至少每周应进行1 次。协助</w:t>
            </w:r>
            <w:r>
              <w:rPr>
                <w:rFonts w:hint="eastAsia" w:ascii="宋体" w:hAnsi="宋体" w:eastAsia="宋体" w:cs="宋体"/>
                <w:sz w:val="21"/>
                <w:szCs w:val="21"/>
                <w:lang w:eastAsia="zh-CN"/>
              </w:rPr>
              <w:t>医学工程部门</w:t>
            </w:r>
            <w:r>
              <w:rPr>
                <w:rFonts w:hint="eastAsia" w:ascii="宋体" w:hAnsi="宋体" w:eastAsia="宋体" w:cs="宋体"/>
                <w:sz w:val="21"/>
                <w:szCs w:val="21"/>
              </w:rPr>
              <w:t>指导使用科室设备操作管理人员掌握一级保养技能，并对日常保养记录定期检查。</w:t>
            </w:r>
          </w:p>
          <w:p w14:paraId="2EC8C41B">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（2）二级保养——成交人派驻人员及</w:t>
            </w:r>
            <w:r>
              <w:rPr>
                <w:rFonts w:hint="eastAsia" w:ascii="宋体" w:hAnsi="宋体" w:eastAsia="宋体" w:cs="宋体"/>
                <w:sz w:val="21"/>
                <w:szCs w:val="21"/>
                <w:lang w:eastAsia="zh-CN"/>
              </w:rPr>
              <w:t>医学工程部门</w:t>
            </w:r>
            <w:r>
              <w:rPr>
                <w:rFonts w:hint="eastAsia" w:ascii="宋体" w:hAnsi="宋体" w:eastAsia="宋体" w:cs="宋体"/>
                <w:sz w:val="21"/>
                <w:szCs w:val="21"/>
              </w:rPr>
              <w:t>工程师</w:t>
            </w:r>
          </w:p>
          <w:p w14:paraId="79B2B6C2">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预防性保养周期：</w:t>
            </w:r>
          </w:p>
          <w:p w14:paraId="1B6AC009">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三类医疗设备预防性保养周期：每年两次；</w:t>
            </w:r>
          </w:p>
          <w:p w14:paraId="5BA5C96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二类医疗设备预防性保养周期：每年一次；</w:t>
            </w:r>
          </w:p>
          <w:p w14:paraId="0CACD119">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一类医疗设备预防性保养周期：每年或两年一次 ；</w:t>
            </w:r>
          </w:p>
          <w:p w14:paraId="6EF81FB6">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根据设备的性能要求，参照使用说明书或维护手册，对设备消耗性材料进行定期更换，以及对容易发生故障的部件进行定期检查。这项工作由成交人派驻人员及</w:t>
            </w:r>
            <w:r>
              <w:rPr>
                <w:rFonts w:hint="eastAsia" w:ascii="宋体" w:hAnsi="宋体" w:eastAsia="宋体" w:cs="宋体"/>
                <w:sz w:val="21"/>
                <w:szCs w:val="21"/>
                <w:lang w:eastAsia="zh-CN"/>
              </w:rPr>
              <w:t>医学工程部门</w:t>
            </w:r>
            <w:r>
              <w:rPr>
                <w:rFonts w:hint="eastAsia" w:ascii="宋体" w:hAnsi="宋体" w:eastAsia="宋体" w:cs="宋体"/>
                <w:sz w:val="21"/>
                <w:szCs w:val="21"/>
              </w:rPr>
              <w:t>工程师完成。</w:t>
            </w:r>
          </w:p>
          <w:p w14:paraId="2BB0988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 xml:space="preserve">（3）三级保养——授权工程师 </w:t>
            </w:r>
          </w:p>
          <w:p w14:paraId="2C2DAC58">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是指按计划定期对设备进行全面的功能检查、电气安全检查、性能测试和校准，以及对设备易损部件进行更换和故障重点部件进行拆卸检查，通过更换、调试、加油、自检以及安全防护等技术手段，使设备符合出厂时的技术参数和性能指标要求。该项工作一般由授权工程师或厂方工程师完成。成交人有相应授权工程师的，则安排授权工程师完成，成交人没有的相应授权工程师的，则由医院邀请厂方授权工程师完成，成交人派驻人员与</w:t>
            </w:r>
            <w:r>
              <w:rPr>
                <w:rFonts w:hint="eastAsia" w:ascii="宋体" w:hAnsi="宋体" w:eastAsia="宋体" w:cs="宋体"/>
                <w:sz w:val="21"/>
                <w:szCs w:val="21"/>
                <w:lang w:eastAsia="zh-CN"/>
              </w:rPr>
              <w:t>医学工程部门</w:t>
            </w:r>
            <w:r>
              <w:rPr>
                <w:rFonts w:hint="eastAsia" w:ascii="宋体" w:hAnsi="宋体" w:eastAsia="宋体" w:cs="宋体"/>
                <w:sz w:val="21"/>
                <w:szCs w:val="21"/>
              </w:rPr>
              <w:t>工程师负责对此项保养工作进行管理和配合。</w:t>
            </w:r>
          </w:p>
          <w:p w14:paraId="1473663E">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8、协助医院建立质量安全监测机制：生命支持类医疗设备电器安全检查每年度一次，一般性安全巡查每年度4次，每次长假前进行必要安全巡查。</w:t>
            </w:r>
          </w:p>
          <w:p w14:paraId="4E00804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9、提供全年365天×24小时处理医疗设备常见故障的排除、维修响应，具备初级故障判断和维修能力，并能协助</w:t>
            </w:r>
            <w:r>
              <w:rPr>
                <w:rFonts w:hint="eastAsia" w:ascii="宋体" w:hAnsi="宋体" w:eastAsia="宋体" w:cs="宋体"/>
                <w:sz w:val="21"/>
                <w:szCs w:val="21"/>
                <w:lang w:eastAsia="zh-CN"/>
              </w:rPr>
              <w:t>医学工程部门</w:t>
            </w:r>
            <w:r>
              <w:rPr>
                <w:rFonts w:hint="eastAsia" w:ascii="宋体" w:hAnsi="宋体" w:eastAsia="宋体" w:cs="宋体"/>
                <w:sz w:val="21"/>
                <w:szCs w:val="21"/>
              </w:rPr>
              <w:t>完成相关维修事件。科室报修后，能及时前去现场检查、沟通、处理</w:t>
            </w:r>
            <w:r>
              <w:rPr>
                <w:rFonts w:hint="eastAsia" w:ascii="宋体" w:hAnsi="宋体" w:eastAsia="宋体" w:cs="宋体"/>
                <w:sz w:val="21"/>
                <w:szCs w:val="21"/>
                <w:lang w:eastAsia="zh-CN"/>
              </w:rPr>
              <w:t>，</w:t>
            </w:r>
            <w:r>
              <w:rPr>
                <w:rFonts w:hint="eastAsia" w:ascii="宋体" w:hAnsi="宋体" w:eastAsia="宋体" w:cs="宋体"/>
                <w:sz w:val="21"/>
                <w:szCs w:val="21"/>
              </w:rPr>
              <w:t>正常班响应到达现场时间小于20分钟，节假日休息时间响应到达现场时间小于30分钟。</w:t>
            </w:r>
            <w:bookmarkStart w:id="6" w:name="_GoBack"/>
            <w:bookmarkEnd w:id="6"/>
          </w:p>
          <w:p w14:paraId="2B33FA6D">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10、协助医院</w:t>
            </w:r>
            <w:r>
              <w:rPr>
                <w:rFonts w:hint="eastAsia" w:ascii="宋体" w:hAnsi="宋体" w:eastAsia="宋体" w:cs="宋体"/>
                <w:sz w:val="21"/>
                <w:szCs w:val="21"/>
                <w:lang w:eastAsia="zh-CN"/>
              </w:rPr>
              <w:t>医学工程部门</w:t>
            </w:r>
            <w:r>
              <w:rPr>
                <w:rFonts w:hint="eastAsia" w:ascii="宋体" w:hAnsi="宋体" w:eastAsia="宋体" w:cs="宋体"/>
                <w:sz w:val="21"/>
                <w:szCs w:val="21"/>
              </w:rPr>
              <w:t>对</w:t>
            </w:r>
            <w:r>
              <w:rPr>
                <w:rFonts w:hint="eastAsia" w:ascii="宋体" w:hAnsi="宋体" w:eastAsia="宋体" w:cs="宋体"/>
                <w:sz w:val="21"/>
                <w:szCs w:val="21"/>
                <w:lang w:eastAsia="zh-CN"/>
              </w:rPr>
              <w:t>医学</w:t>
            </w:r>
            <w:r>
              <w:rPr>
                <w:rFonts w:hint="eastAsia" w:ascii="宋体" w:hAnsi="宋体" w:eastAsia="宋体" w:cs="宋体"/>
                <w:sz w:val="21"/>
                <w:szCs w:val="21"/>
              </w:rPr>
              <w:t>工程师及临床科室设备操作管理人员进行必要的技术培训。</w:t>
            </w:r>
          </w:p>
          <w:p w14:paraId="56A2A645">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11、提供医院通过各类评审的医疗设备维护保障相关服务。</w:t>
            </w:r>
          </w:p>
          <w:p w14:paraId="740C9FBE">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12、对于需设备厂家或授权工程师提供的设备维修维护服务或专业配件，提供相应的备选方案，供医院比较选择。</w:t>
            </w:r>
          </w:p>
          <w:p w14:paraId="38BD2ED9">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13</w:t>
            </w:r>
            <w:r>
              <w:rPr>
                <w:rFonts w:hint="eastAsia" w:ascii="宋体" w:hAnsi="宋体" w:eastAsia="宋体" w:cs="宋体"/>
                <w:sz w:val="21"/>
                <w:szCs w:val="21"/>
                <w:lang w:eastAsia="zh-CN"/>
              </w:rPr>
              <w:t>、</w:t>
            </w:r>
            <w:r>
              <w:rPr>
                <w:rFonts w:hint="eastAsia" w:ascii="宋体" w:hAnsi="宋体" w:eastAsia="宋体" w:cs="宋体"/>
                <w:sz w:val="21"/>
                <w:szCs w:val="21"/>
              </w:rPr>
              <w:t>提供临床科室质量安全管理绩效考评细则以及对临床科室进行考核。</w:t>
            </w:r>
          </w:p>
          <w:p w14:paraId="3171DF54">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14、派驻人员遵守医院各项管理制度，接受医院</w:t>
            </w:r>
            <w:r>
              <w:rPr>
                <w:rFonts w:hint="eastAsia" w:ascii="宋体" w:hAnsi="宋体" w:eastAsia="宋体" w:cs="宋体"/>
                <w:sz w:val="21"/>
                <w:szCs w:val="21"/>
                <w:lang w:eastAsia="zh-CN"/>
              </w:rPr>
              <w:t>医学工程部门</w:t>
            </w:r>
            <w:r>
              <w:rPr>
                <w:rFonts w:hint="eastAsia" w:ascii="宋体" w:hAnsi="宋体" w:eastAsia="宋体" w:cs="宋体"/>
                <w:sz w:val="21"/>
                <w:szCs w:val="21"/>
              </w:rPr>
              <w:t>的管理和工作安排。根据医院要求提供其他相关服务。</w:t>
            </w:r>
          </w:p>
          <w:p w14:paraId="7148ACE7">
            <w:pPr>
              <w:pStyle w:val="4"/>
              <w:keepNext w:val="0"/>
              <w:keepLines w:val="0"/>
              <w:pageBreakBefore w:val="0"/>
              <w:widowControl w:val="0"/>
              <w:kinsoku/>
              <w:wordWrap/>
              <w:overflowPunct/>
              <w:topLinePunct w:val="0"/>
              <w:autoSpaceDE/>
              <w:autoSpaceDN/>
              <w:bidi w:val="0"/>
              <w:adjustRightInd/>
              <w:spacing w:line="400" w:lineRule="exact"/>
              <w:ind w:firstLine="0" w:firstLineChars="0"/>
              <w:textAlignment w:val="auto"/>
              <w:rPr>
                <w:rFonts w:hint="eastAsia" w:ascii="宋体" w:hAnsi="宋体" w:eastAsia="宋体" w:cs="宋体"/>
                <w:sz w:val="21"/>
                <w:szCs w:val="21"/>
              </w:rPr>
            </w:pPr>
            <w:r>
              <w:rPr>
                <w:rFonts w:hint="eastAsia" w:ascii="宋体" w:hAnsi="宋体" w:eastAsia="宋体" w:cs="宋体"/>
                <w:sz w:val="21"/>
                <w:szCs w:val="21"/>
              </w:rPr>
              <w:t>15、成交人须严格执行采购人考核制度（详见附件《广西医科大学第二附属医院医疗设备外包服务工作考核细则》）</w:t>
            </w:r>
          </w:p>
          <w:p w14:paraId="22884BCF">
            <w:pPr>
              <w:pStyle w:val="4"/>
              <w:spacing w:line="400" w:lineRule="exact"/>
              <w:ind w:firstLine="0" w:firstLineChars="0"/>
              <w:rPr>
                <w:rFonts w:hint="eastAsia" w:ascii="宋体" w:hAnsi="宋体" w:eastAsia="宋体" w:cs="宋体"/>
                <w:i w:val="0"/>
                <w:iCs w:val="0"/>
                <w:caps w:val="0"/>
                <w:spacing w:val="0"/>
                <w:kern w:val="0"/>
                <w:sz w:val="21"/>
                <w:szCs w:val="21"/>
                <w:shd w:val="clear"/>
                <w:lang w:eastAsia="zh-CN"/>
              </w:rPr>
            </w:pPr>
            <w:r>
              <w:rPr>
                <w:rFonts w:hint="eastAsia" w:ascii="宋体" w:hAnsi="宋体" w:eastAsia="宋体" w:cs="宋体"/>
                <w:sz w:val="21"/>
                <w:szCs w:val="21"/>
                <w:lang w:val="en-US" w:eastAsia="zh-CN"/>
              </w:rPr>
              <w:t>16、</w:t>
            </w:r>
            <w:r>
              <w:rPr>
                <w:rFonts w:hint="eastAsia" w:ascii="宋体" w:hAnsi="宋体" w:eastAsia="宋体" w:cs="宋体"/>
                <w:b w:val="0"/>
                <w:bCs w:val="0"/>
                <w:i w:val="0"/>
                <w:iCs w:val="0"/>
                <w:caps w:val="0"/>
                <w:spacing w:val="0"/>
                <w:kern w:val="0"/>
                <w:sz w:val="21"/>
                <w:szCs w:val="21"/>
                <w:shd w:val="clear"/>
              </w:rPr>
              <w:t>服务承诺：供应商须承诺，在法定节假日及周末期间，安排具备相应资质的专业技术人员在医院现场值班，</w:t>
            </w:r>
            <w:r>
              <w:rPr>
                <w:rFonts w:hint="eastAsia" w:ascii="宋体" w:hAnsi="宋体" w:eastAsia="宋体" w:cs="宋体"/>
                <w:i w:val="0"/>
                <w:iCs w:val="0"/>
                <w:caps w:val="0"/>
                <w:spacing w:val="0"/>
                <w:sz w:val="21"/>
                <w:szCs w:val="21"/>
                <w:shd w:val="clear"/>
              </w:rPr>
              <w:t>提供全天候运维保障服务</w:t>
            </w:r>
            <w:r>
              <w:rPr>
                <w:rFonts w:hint="eastAsia" w:ascii="宋体" w:hAnsi="宋体" w:eastAsia="宋体" w:cs="宋体"/>
                <w:i w:val="0"/>
                <w:iCs w:val="0"/>
                <w:caps w:val="0"/>
                <w:spacing w:val="0"/>
                <w:sz w:val="21"/>
                <w:szCs w:val="21"/>
                <w:shd w:val="clear"/>
                <w:lang w:eastAsia="zh-CN"/>
              </w:rPr>
              <w:t>。</w:t>
            </w:r>
          </w:p>
          <w:p w14:paraId="6211EE0B">
            <w:pPr>
              <w:pStyle w:val="4"/>
              <w:spacing w:line="400" w:lineRule="exact"/>
              <w:ind w:firstLine="0" w:firstLineChars="0"/>
              <w:rPr>
                <w:rFonts w:hint="eastAsia" w:ascii="宋体" w:hAnsi="宋体" w:eastAsia="宋体" w:cs="宋体"/>
                <w:i w:val="0"/>
                <w:iCs w:val="0"/>
                <w:caps w:val="0"/>
                <w:spacing w:val="0"/>
                <w:kern w:val="0"/>
                <w:sz w:val="21"/>
                <w:szCs w:val="21"/>
                <w:shd w:val="clear"/>
                <w:lang w:val="en-US" w:eastAsia="zh-CN"/>
              </w:rPr>
            </w:pPr>
            <w:r>
              <w:rPr>
                <w:rFonts w:hint="eastAsia" w:ascii="宋体" w:hAnsi="宋体" w:eastAsia="宋体" w:cs="宋体"/>
                <w:i w:val="0"/>
                <w:iCs w:val="0"/>
                <w:caps w:val="0"/>
                <w:spacing w:val="0"/>
                <w:kern w:val="0"/>
                <w:sz w:val="21"/>
                <w:szCs w:val="21"/>
                <w:shd w:val="clear"/>
                <w:lang w:val="en-US" w:eastAsia="zh-CN"/>
              </w:rPr>
              <w:t>17、按采购人要求提供各类医疗设备运维报表，完成相应数据统计分析工作</w:t>
            </w:r>
            <w:r>
              <w:rPr>
                <w:rFonts w:hint="eastAsia" w:ascii="宋体" w:hAnsi="宋体" w:eastAsia="宋体" w:cs="宋体"/>
                <w:i w:val="0"/>
                <w:iCs w:val="0"/>
                <w:caps w:val="0"/>
                <w:spacing w:val="0"/>
                <w:kern w:val="0"/>
                <w:sz w:val="21"/>
                <w:szCs w:val="21"/>
                <w:shd w:val="clear"/>
                <w:lang w:val="en-US" w:eastAsia="zh-CN"/>
              </w:rPr>
              <w:t>。</w:t>
            </w:r>
          </w:p>
          <w:p w14:paraId="77733079">
            <w:pPr>
              <w:pStyle w:val="4"/>
              <w:spacing w:line="400" w:lineRule="exact"/>
              <w:ind w:firstLine="0" w:firstLineChars="0"/>
              <w:rPr>
                <w:rFonts w:hint="default" w:ascii="宋体" w:hAnsi="宋体" w:cs="宋体"/>
                <w:i w:val="0"/>
                <w:iCs w:val="0"/>
                <w:caps w:val="0"/>
                <w:spacing w:val="0"/>
                <w:kern w:val="0"/>
                <w:sz w:val="21"/>
                <w:szCs w:val="21"/>
                <w:shd w:val="clear"/>
                <w:lang w:val="en-US" w:eastAsia="zh-CN"/>
              </w:rPr>
            </w:pPr>
            <w:r>
              <w:rPr>
                <w:rFonts w:hint="eastAsia" w:ascii="宋体" w:hAnsi="宋体" w:eastAsia="宋体" w:cs="宋体"/>
                <w:i w:val="0"/>
                <w:iCs w:val="0"/>
                <w:caps w:val="0"/>
                <w:spacing w:val="0"/>
                <w:kern w:val="0"/>
                <w:sz w:val="21"/>
                <w:szCs w:val="21"/>
                <w:shd w:val="clear"/>
                <w:lang w:val="en-US" w:eastAsia="zh-CN"/>
              </w:rPr>
              <w:t>18、配合采购人迎接各类检查、评审，并协助采购人完成相关材料准备。</w:t>
            </w:r>
          </w:p>
        </w:tc>
      </w:tr>
    </w:tbl>
    <w:p w14:paraId="17319CCB">
      <w:pPr>
        <w:sectPr>
          <w:pgSz w:w="11906" w:h="16838"/>
          <w:pgMar w:top="1440" w:right="1800" w:bottom="1440" w:left="1800" w:header="851" w:footer="992" w:gutter="0"/>
          <w:cols w:space="425" w:num="1"/>
          <w:docGrid w:type="lines" w:linePitch="312" w:charSpace="0"/>
        </w:sectPr>
      </w:pPr>
    </w:p>
    <w:p w14:paraId="480E83E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cs="宋体"/>
          <w:b/>
          <w:sz w:val="32"/>
          <w:szCs w:val="32"/>
        </w:rPr>
      </w:pPr>
      <w:r>
        <w:rPr>
          <w:rFonts w:hint="eastAsia" w:ascii="宋体" w:hAnsi="宋体" w:cs="宋体"/>
          <w:b/>
          <w:sz w:val="32"/>
          <w:szCs w:val="32"/>
        </w:rPr>
        <w:t>附件</w:t>
      </w:r>
    </w:p>
    <w:p w14:paraId="3856E5B3">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jc w:val="center"/>
        <w:rPr>
          <w:rFonts w:hint="eastAsia" w:ascii="宋体" w:hAnsi="宋体" w:cs="宋体"/>
          <w:b/>
          <w:kern w:val="0"/>
          <w:sz w:val="28"/>
          <w:szCs w:val="28"/>
        </w:rPr>
      </w:pPr>
      <w:r>
        <w:rPr>
          <w:rFonts w:hint="eastAsia" w:ascii="宋体" w:hAnsi="宋体" w:cs="宋体"/>
          <w:b/>
          <w:kern w:val="0"/>
          <w:sz w:val="28"/>
          <w:szCs w:val="28"/>
        </w:rPr>
        <w:t>广西医科大学第二附属医院医疗设备外包服务工作考核细则</w:t>
      </w:r>
    </w:p>
    <w:p w14:paraId="3A1972D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cs="宋体"/>
          <w:kern w:val="0"/>
          <w:szCs w:val="21"/>
        </w:rPr>
      </w:pPr>
      <w:r>
        <w:rPr>
          <w:rFonts w:hint="eastAsia" w:ascii="宋体" w:hAnsi="宋体" w:cs="宋体"/>
          <w:kern w:val="0"/>
          <w:szCs w:val="21"/>
        </w:rPr>
        <w:t xml:space="preserve">第一章   总  则 </w:t>
      </w:r>
    </w:p>
    <w:p w14:paraId="25135072">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19"/>
        <w:rPr>
          <w:rFonts w:hint="eastAsia" w:ascii="宋体" w:hAnsi="宋体" w:cs="宋体"/>
          <w:kern w:val="0"/>
          <w:szCs w:val="21"/>
        </w:rPr>
      </w:pPr>
      <w:r>
        <w:rPr>
          <w:rFonts w:hint="eastAsia" w:ascii="宋体" w:hAnsi="宋体" w:cs="宋体"/>
          <w:kern w:val="0"/>
          <w:szCs w:val="21"/>
        </w:rPr>
        <w:t xml:space="preserve">第一条  为了明确责任，规范外包服务工作管理，提高派驻人员的工作积极性和主动性，增强责任感和使命感，更好地为院方服务。根据我院实际情况，制定本考核细则。 </w:t>
      </w:r>
    </w:p>
    <w:p w14:paraId="0D3577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rPr>
          <w:rFonts w:hint="eastAsia" w:ascii="宋体" w:hAnsi="宋体" w:cs="宋体"/>
          <w:kern w:val="0"/>
          <w:szCs w:val="21"/>
        </w:rPr>
      </w:pPr>
      <w:r>
        <w:rPr>
          <w:rFonts w:hint="eastAsia" w:ascii="宋体" w:hAnsi="宋体" w:cs="宋体"/>
          <w:kern w:val="0"/>
          <w:szCs w:val="21"/>
        </w:rPr>
        <w:t>第二章  考核办法</w:t>
      </w:r>
    </w:p>
    <w:p w14:paraId="13553E46">
      <w:pPr>
        <w:widowControl/>
        <w:spacing w:line="360" w:lineRule="auto"/>
        <w:ind w:firstLine="419"/>
        <w:rPr>
          <w:rFonts w:hint="eastAsia" w:ascii="宋体" w:hAnsi="宋体" w:cs="宋体"/>
          <w:kern w:val="0"/>
          <w:szCs w:val="21"/>
        </w:rPr>
      </w:pPr>
      <w:r>
        <w:rPr>
          <w:rFonts w:hint="eastAsia" w:ascii="宋体" w:hAnsi="宋体" w:cs="宋体"/>
          <w:kern w:val="0"/>
          <w:szCs w:val="21"/>
        </w:rPr>
        <w:t>第一条  对医疗设备技术外包服务的考核方式为：由医院医疗</w:t>
      </w:r>
      <w:r>
        <w:rPr>
          <w:rFonts w:hint="eastAsia" w:ascii="宋体" w:hAnsi="宋体" w:cs="宋体"/>
          <w:kern w:val="0"/>
          <w:szCs w:val="21"/>
          <w:lang w:eastAsia="zh-CN"/>
        </w:rPr>
        <w:t>医学工程部门</w:t>
      </w:r>
      <w:r>
        <w:rPr>
          <w:rFonts w:hint="eastAsia" w:ascii="宋体" w:hAnsi="宋体" w:cs="宋体"/>
          <w:kern w:val="0"/>
          <w:szCs w:val="21"/>
        </w:rPr>
        <w:t>牵头组织全院各医用设备使用部门设备管理员根据外包服务质量随时记录、定期打分的方式进行。对外包服务公司的服务工作实行百分制考核，对违反相关规定的行为进行扣分，符合加分条件的给予加分，评分结果作为服务质量的依据。 考核等级分为‘非常满意’、‘满意’、‘一般’、‘不满意’，对应的分数为</w:t>
      </w:r>
      <w:r>
        <w:rPr>
          <w:rFonts w:hint="eastAsia" w:ascii="宋体" w:hAnsi="宋体" w:cs="宋体"/>
          <w:color w:val="000000"/>
          <w:kern w:val="0"/>
          <w:szCs w:val="21"/>
        </w:rPr>
        <w:t>‘95-100分’、‘80-94分’</w:t>
      </w:r>
      <w:r>
        <w:rPr>
          <w:rFonts w:hint="eastAsia" w:ascii="宋体" w:hAnsi="宋体" w:cs="宋体"/>
          <w:kern w:val="0"/>
          <w:szCs w:val="21"/>
        </w:rPr>
        <w:t>、‘60-79分’、‘60分以下’。如该月评为‘非常满意’或‘满意’，不作扣款；如该月评为‘一般’，按满意线下每扣一分扣减服务费100.00元；如当月考核为‘不满意’，折算扣减半个月服务费用，连续2月考核为‘不满意’，折算扣减1个月服务费用，连续3月考核为‘不满意’，折算扣减</w:t>
      </w:r>
      <w:r>
        <w:rPr>
          <w:rFonts w:ascii="宋体" w:hAnsi="宋体" w:cs="宋体"/>
          <w:kern w:val="0"/>
          <w:szCs w:val="21"/>
        </w:rPr>
        <w:t>2</w:t>
      </w:r>
      <w:r>
        <w:rPr>
          <w:rFonts w:hint="eastAsia" w:ascii="宋体" w:hAnsi="宋体" w:cs="宋体"/>
          <w:kern w:val="0"/>
          <w:szCs w:val="21"/>
        </w:rPr>
        <w:t xml:space="preserve">个月服务费用，，医院有权终止服务合同。 </w:t>
      </w:r>
    </w:p>
    <w:p w14:paraId="41ED63E9">
      <w:pPr>
        <w:widowControl/>
        <w:spacing w:line="360" w:lineRule="auto"/>
        <w:ind w:firstLine="419"/>
        <w:rPr>
          <w:rFonts w:hint="eastAsia" w:ascii="宋体" w:hAnsi="宋体" w:cs="宋体"/>
          <w:kern w:val="0"/>
          <w:szCs w:val="21"/>
        </w:rPr>
      </w:pPr>
      <w:r>
        <w:rPr>
          <w:rFonts w:hint="eastAsia" w:ascii="宋体" w:hAnsi="宋体" w:cs="宋体"/>
          <w:kern w:val="0"/>
          <w:szCs w:val="21"/>
        </w:rPr>
        <w:t>第二条  按月进行考核，次月的1-5号为上月的考核总评时间，对上月的考核情况进行统计，服务费每半年支付一次，服务费金额与考核情况挂钩。</w:t>
      </w:r>
    </w:p>
    <w:p w14:paraId="175D9B43">
      <w:pPr>
        <w:widowControl/>
        <w:spacing w:line="360" w:lineRule="auto"/>
        <w:ind w:firstLine="419"/>
        <w:rPr>
          <w:rFonts w:hint="eastAsia" w:ascii="宋体" w:hAnsi="宋体" w:cs="宋体"/>
          <w:kern w:val="0"/>
          <w:szCs w:val="21"/>
        </w:rPr>
      </w:pPr>
      <w:r>
        <w:rPr>
          <w:rFonts w:hint="eastAsia" w:ascii="宋体" w:hAnsi="宋体" w:cs="宋体"/>
          <w:kern w:val="0"/>
          <w:szCs w:val="21"/>
        </w:rPr>
        <w:t>第三条   医疗设备指派专职人员对外包服务工作进行监督管理，对派驻人员的工作进行实时检查记录，每月收集全院各科室设备管理员的意见，在每月5日前对上月医疗设备外包服务进行量化评分。</w:t>
      </w:r>
    </w:p>
    <w:p w14:paraId="2A79851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60" w:lineRule="auto"/>
        <w:ind w:firstLine="420" w:firstLineChars="200"/>
        <w:rPr>
          <w:rFonts w:hint="eastAsia" w:ascii="宋体" w:hAnsi="宋体" w:cs="宋体"/>
          <w:kern w:val="0"/>
          <w:szCs w:val="21"/>
        </w:rPr>
      </w:pPr>
      <w:r>
        <w:rPr>
          <w:rFonts w:hint="eastAsia" w:ascii="宋体" w:hAnsi="宋体" w:cs="宋体"/>
          <w:kern w:val="0"/>
          <w:szCs w:val="21"/>
        </w:rPr>
        <w:t xml:space="preserve">第三章  评分细则 </w:t>
      </w:r>
    </w:p>
    <w:tbl>
      <w:tblPr>
        <w:tblStyle w:val="6"/>
        <w:tblW w:w="8323" w:type="dxa"/>
        <w:tblInd w:w="93" w:type="dxa"/>
        <w:tblLayout w:type="autofit"/>
        <w:tblCellMar>
          <w:top w:w="0" w:type="dxa"/>
          <w:left w:w="108" w:type="dxa"/>
          <w:bottom w:w="0" w:type="dxa"/>
          <w:right w:w="108" w:type="dxa"/>
        </w:tblCellMar>
      </w:tblPr>
      <w:tblGrid>
        <w:gridCol w:w="1174"/>
        <w:gridCol w:w="7149"/>
      </w:tblGrid>
      <w:tr w14:paraId="41FA8B6C">
        <w:tblPrEx>
          <w:tblCellMar>
            <w:top w:w="0" w:type="dxa"/>
            <w:left w:w="108" w:type="dxa"/>
            <w:bottom w:w="0" w:type="dxa"/>
            <w:right w:w="108" w:type="dxa"/>
          </w:tblCellMar>
        </w:tblPrEx>
        <w:trPr>
          <w:trHeight w:val="143"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3D0AA991">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考核项目</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7C36013B">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考核内容</w:t>
            </w:r>
          </w:p>
        </w:tc>
      </w:tr>
      <w:tr w14:paraId="6DC4C30F">
        <w:tblPrEx>
          <w:tblCellMar>
            <w:top w:w="0" w:type="dxa"/>
            <w:left w:w="108" w:type="dxa"/>
            <w:bottom w:w="0" w:type="dxa"/>
            <w:right w:w="108" w:type="dxa"/>
          </w:tblCellMar>
        </w:tblPrEx>
        <w:trPr>
          <w:trHeight w:val="143" w:hRule="atLeast"/>
        </w:trPr>
        <w:tc>
          <w:tcPr>
            <w:tcW w:w="11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17430BD">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 xml:space="preserve">及时性 </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3D2B079D">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1.迟到、早退（1小时）一次扣1分；有请假未补充人员，一次扣2分；</w:t>
            </w:r>
          </w:p>
        </w:tc>
      </w:tr>
      <w:tr w14:paraId="34C87DF4">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A84C5B0">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392E0758">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2.工作日响应到场时间超过20分钟节假日30分钟（特殊情况除外），一次扣1分；</w:t>
            </w:r>
          </w:p>
        </w:tc>
      </w:tr>
      <w:tr w14:paraId="5257EA3A">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2FACCE4C">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5995AC1E">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3.报修电话在工作时间无人接听的，一次扣1分（及时回拨用户不扣分）；</w:t>
            </w:r>
          </w:p>
        </w:tc>
      </w:tr>
      <w:tr w14:paraId="4CE258C1">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02EDCD5">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5BFE4C8C">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4.接到维修任务时及时录入维修事件，完成维修事件后按时结束维修事件，违反一次扣1分</w:t>
            </w:r>
          </w:p>
        </w:tc>
      </w:tr>
      <w:tr w14:paraId="1D6C2739">
        <w:tblPrEx>
          <w:tblCellMar>
            <w:top w:w="0" w:type="dxa"/>
            <w:left w:w="108" w:type="dxa"/>
            <w:bottom w:w="0" w:type="dxa"/>
            <w:right w:w="108" w:type="dxa"/>
          </w:tblCellMar>
        </w:tblPrEx>
        <w:trPr>
          <w:trHeight w:val="143" w:hRule="atLeast"/>
        </w:trPr>
        <w:tc>
          <w:tcPr>
            <w:tcW w:w="1174" w:type="dxa"/>
            <w:vMerge w:val="restart"/>
            <w:tcBorders>
              <w:top w:val="single" w:color="000000" w:sz="4" w:space="0"/>
              <w:left w:val="single" w:color="000000" w:sz="4" w:space="0"/>
              <w:bottom w:val="single" w:color="000000" w:sz="4" w:space="0"/>
              <w:right w:val="single" w:color="000000" w:sz="4" w:space="0"/>
            </w:tcBorders>
            <w:noWrap w:val="0"/>
            <w:vAlign w:val="center"/>
          </w:tcPr>
          <w:p w14:paraId="5FD44D06">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 xml:space="preserve">有效性 </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0E182E23">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5.医疗设备保养计划完成率达到90%，每下降1%扣1分。</w:t>
            </w:r>
          </w:p>
        </w:tc>
      </w:tr>
      <w:tr w14:paraId="3C3916E8">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7C9FC84C">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44DB2DCA">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6.急救与生命支持设备完好率达到100%，每下降1%扣1分。</w:t>
            </w:r>
          </w:p>
        </w:tc>
      </w:tr>
      <w:tr w14:paraId="0582C4D4">
        <w:tblPrEx>
          <w:tblCellMar>
            <w:top w:w="0" w:type="dxa"/>
            <w:left w:w="108" w:type="dxa"/>
            <w:bottom w:w="0" w:type="dxa"/>
            <w:right w:w="108" w:type="dxa"/>
          </w:tblCellMar>
        </w:tblPrEx>
        <w:trPr>
          <w:trHeight w:val="280"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AC0A7D4">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543089D7">
            <w:pPr>
              <w:widowControl/>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7.对配件的采购和设备送修弄虚作假，经</w:t>
            </w:r>
            <w:r>
              <w:rPr>
                <w:rFonts w:hint="eastAsia" w:ascii="宋体" w:hAnsi="宋体" w:cs="宋体"/>
                <w:kern w:val="0"/>
                <w:szCs w:val="21"/>
                <w:lang w:eastAsia="zh-CN" w:bidi="ar"/>
              </w:rPr>
              <w:t>医学工程部门</w:t>
            </w:r>
            <w:r>
              <w:rPr>
                <w:rFonts w:hint="eastAsia" w:ascii="宋体" w:hAnsi="宋体" w:cs="宋体"/>
                <w:kern w:val="0"/>
                <w:szCs w:val="21"/>
                <w:lang w:bidi="ar"/>
              </w:rPr>
              <w:t>或审计部门查实超出市场价格30%以上的，每次扣5分；</w:t>
            </w:r>
          </w:p>
        </w:tc>
      </w:tr>
      <w:tr w14:paraId="2F4A077F">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200D21E">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13334892">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8.未服从甲方负责人工作安排，一次扣2分；</w:t>
            </w:r>
          </w:p>
        </w:tc>
      </w:tr>
      <w:tr w14:paraId="46D3D894">
        <w:tblPrEx>
          <w:tblCellMar>
            <w:top w:w="0" w:type="dxa"/>
            <w:left w:w="108" w:type="dxa"/>
            <w:bottom w:w="0" w:type="dxa"/>
            <w:right w:w="108" w:type="dxa"/>
          </w:tblCellMar>
        </w:tblPrEx>
        <w:trPr>
          <w:trHeight w:val="143" w:hRule="atLeast"/>
        </w:trPr>
        <w:tc>
          <w:tcPr>
            <w:tcW w:w="1174" w:type="dxa"/>
            <w:vMerge w:val="restart"/>
            <w:tcBorders>
              <w:top w:val="single" w:color="000000" w:sz="4" w:space="0"/>
              <w:left w:val="single" w:color="000000" w:sz="4" w:space="0"/>
              <w:bottom w:val="single" w:color="000000" w:sz="4" w:space="0"/>
              <w:right w:val="single" w:color="000000" w:sz="4" w:space="0"/>
            </w:tcBorders>
            <w:noWrap w:val="0"/>
            <w:vAlign w:val="center"/>
          </w:tcPr>
          <w:p w14:paraId="33AF680D">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完成度</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0DAE7E88">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9.工作言行规范，完成任务后及时报告，违反一次扣0.5分；</w:t>
            </w:r>
          </w:p>
        </w:tc>
      </w:tr>
      <w:tr w14:paraId="73A878DA">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4D89DA83">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2B2AA2EE">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10.有能力维修但未在3日内完成维修的（不含采购配件时间），一次扣1分；</w:t>
            </w:r>
          </w:p>
        </w:tc>
      </w:tr>
      <w:tr w14:paraId="6D82A439">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6BFAE988">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4B1C0B06">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11.未按规定提供节假日维修保障工作，在用户发出维修需求时未安排人员处理，一次扣2分；</w:t>
            </w:r>
          </w:p>
        </w:tc>
      </w:tr>
      <w:tr w14:paraId="4AF9BE81">
        <w:tblPrEx>
          <w:tblCellMar>
            <w:top w:w="0" w:type="dxa"/>
            <w:left w:w="108" w:type="dxa"/>
            <w:bottom w:w="0" w:type="dxa"/>
            <w:right w:w="108" w:type="dxa"/>
          </w:tblCellMar>
        </w:tblPrEx>
        <w:trPr>
          <w:trHeight w:val="143" w:hRule="atLeast"/>
        </w:trPr>
        <w:tc>
          <w:tcPr>
            <w:tcW w:w="1174" w:type="dxa"/>
            <w:vMerge w:val="continue"/>
            <w:tcBorders>
              <w:top w:val="single" w:color="000000" w:sz="4" w:space="0"/>
              <w:left w:val="single" w:color="000000" w:sz="4" w:space="0"/>
              <w:bottom w:val="single" w:color="000000" w:sz="4" w:space="0"/>
              <w:right w:val="single" w:color="000000" w:sz="4" w:space="0"/>
            </w:tcBorders>
            <w:noWrap w:val="0"/>
            <w:vAlign w:val="center"/>
          </w:tcPr>
          <w:p w14:paraId="3C46722F">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5A098282">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12.甲方发展公共突发事件或重要检查，需要乙方增派人员时，未及时提供的扣5分；</w:t>
            </w:r>
          </w:p>
        </w:tc>
      </w:tr>
      <w:tr w14:paraId="5478619B">
        <w:tblPrEx>
          <w:tblCellMar>
            <w:top w:w="0" w:type="dxa"/>
            <w:left w:w="108" w:type="dxa"/>
            <w:bottom w:w="0" w:type="dxa"/>
            <w:right w:w="108" w:type="dxa"/>
          </w:tblCellMar>
        </w:tblPrEx>
        <w:trPr>
          <w:trHeight w:val="143" w:hRule="atLeast"/>
        </w:trPr>
        <w:tc>
          <w:tcPr>
            <w:tcW w:w="1174" w:type="dxa"/>
            <w:vMerge w:val="restart"/>
            <w:tcBorders>
              <w:top w:val="single" w:color="000000" w:sz="4" w:space="0"/>
              <w:left w:val="single" w:color="000000" w:sz="4" w:space="0"/>
              <w:right w:val="single" w:color="000000" w:sz="4" w:space="0"/>
            </w:tcBorders>
            <w:noWrap w:val="0"/>
            <w:vAlign w:val="center"/>
          </w:tcPr>
          <w:p w14:paraId="3B01B797">
            <w:pPr>
              <w:widowControl/>
              <w:spacing w:line="360" w:lineRule="auto"/>
              <w:jc w:val="center"/>
              <w:textAlignment w:val="center"/>
              <w:rPr>
                <w:rFonts w:hint="eastAsia" w:ascii="宋体" w:hAnsi="宋体" w:cs="宋体"/>
                <w:szCs w:val="21"/>
              </w:rPr>
            </w:pPr>
            <w:r>
              <w:rPr>
                <w:rFonts w:hint="eastAsia" w:ascii="宋体" w:hAnsi="宋体" w:cs="宋体"/>
                <w:kern w:val="0"/>
                <w:szCs w:val="21"/>
                <w:lang w:bidi="ar"/>
              </w:rPr>
              <w:t>满意度</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3AC2CE76">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13.维修任务完成后，用户评价或抽查结果为不满意的，一次扣1分；</w:t>
            </w:r>
          </w:p>
        </w:tc>
      </w:tr>
      <w:tr w14:paraId="4F7B9406">
        <w:tblPrEx>
          <w:tblCellMar>
            <w:top w:w="0" w:type="dxa"/>
            <w:left w:w="108" w:type="dxa"/>
            <w:bottom w:w="0" w:type="dxa"/>
            <w:right w:w="108" w:type="dxa"/>
          </w:tblCellMar>
        </w:tblPrEx>
        <w:trPr>
          <w:trHeight w:val="143" w:hRule="atLeast"/>
        </w:trPr>
        <w:tc>
          <w:tcPr>
            <w:tcW w:w="1174" w:type="dxa"/>
            <w:vMerge w:val="continue"/>
            <w:tcBorders>
              <w:left w:val="single" w:color="000000" w:sz="4" w:space="0"/>
              <w:bottom w:val="single" w:color="000000" w:sz="4" w:space="0"/>
              <w:right w:val="single" w:color="000000" w:sz="4" w:space="0"/>
            </w:tcBorders>
            <w:noWrap w:val="0"/>
            <w:vAlign w:val="center"/>
          </w:tcPr>
          <w:p w14:paraId="0E3A2B7B">
            <w:pPr>
              <w:spacing w:line="360" w:lineRule="auto"/>
              <w:jc w:val="center"/>
              <w:rPr>
                <w:rFonts w:hint="eastAsia" w:ascii="宋体" w:hAnsi="宋体" w:cs="宋体"/>
                <w:szCs w:val="21"/>
              </w:rPr>
            </w:pP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3A89C99E">
            <w:pPr>
              <w:widowControl/>
              <w:spacing w:line="360" w:lineRule="auto"/>
              <w:jc w:val="left"/>
              <w:textAlignment w:val="center"/>
              <w:rPr>
                <w:rFonts w:hint="eastAsia" w:ascii="宋体" w:hAnsi="宋体" w:cs="宋体"/>
                <w:szCs w:val="21"/>
              </w:rPr>
            </w:pPr>
            <w:r>
              <w:rPr>
                <w:rFonts w:hint="eastAsia" w:ascii="宋体" w:hAnsi="宋体" w:cs="宋体"/>
                <w:kern w:val="0"/>
                <w:szCs w:val="21"/>
                <w:lang w:bidi="ar"/>
              </w:rPr>
              <w:t>14.接到用户口头投诉，经核实属派驻人员责任的，视情节每次扣2分；</w:t>
            </w:r>
          </w:p>
        </w:tc>
      </w:tr>
      <w:tr w14:paraId="75F8B40F">
        <w:tblPrEx>
          <w:tblCellMar>
            <w:top w:w="0" w:type="dxa"/>
            <w:left w:w="108" w:type="dxa"/>
            <w:bottom w:w="0" w:type="dxa"/>
            <w:right w:w="108" w:type="dxa"/>
          </w:tblCellMar>
        </w:tblPrEx>
        <w:trPr>
          <w:trHeight w:val="697" w:hRule="atLeast"/>
        </w:trPr>
        <w:tc>
          <w:tcPr>
            <w:tcW w:w="1174" w:type="dxa"/>
            <w:tcBorders>
              <w:top w:val="single" w:color="000000" w:sz="4" w:space="0"/>
              <w:left w:val="single" w:color="000000" w:sz="4" w:space="0"/>
              <w:bottom w:val="single" w:color="000000" w:sz="4" w:space="0"/>
              <w:right w:val="single" w:color="000000" w:sz="4" w:space="0"/>
            </w:tcBorders>
            <w:noWrap w:val="0"/>
            <w:vAlign w:val="center"/>
          </w:tcPr>
          <w:p w14:paraId="0F3D3D27">
            <w:pPr>
              <w:spacing w:line="360" w:lineRule="auto"/>
              <w:jc w:val="center"/>
              <w:rPr>
                <w:rFonts w:hint="eastAsia" w:ascii="宋体" w:hAnsi="宋体" w:cs="宋体"/>
                <w:szCs w:val="21"/>
              </w:rPr>
            </w:pPr>
            <w:r>
              <w:rPr>
                <w:rFonts w:hint="eastAsia" w:ascii="宋体" w:hAnsi="宋体" w:cs="宋体"/>
                <w:szCs w:val="21"/>
              </w:rPr>
              <w:t>加分项</w:t>
            </w:r>
          </w:p>
        </w:tc>
        <w:tc>
          <w:tcPr>
            <w:tcW w:w="7149" w:type="dxa"/>
            <w:tcBorders>
              <w:top w:val="single" w:color="000000" w:sz="4" w:space="0"/>
              <w:left w:val="single" w:color="000000" w:sz="4" w:space="0"/>
              <w:bottom w:val="single" w:color="000000" w:sz="4" w:space="0"/>
              <w:right w:val="single" w:color="000000" w:sz="4" w:space="0"/>
            </w:tcBorders>
            <w:noWrap w:val="0"/>
            <w:vAlign w:val="center"/>
          </w:tcPr>
          <w:p w14:paraId="34951AFD">
            <w:pPr>
              <w:widowControl/>
              <w:numPr>
                <w:ilvl w:val="0"/>
                <w:numId w:val="1"/>
              </w:numPr>
              <w:spacing w:line="360" w:lineRule="auto"/>
              <w:jc w:val="left"/>
              <w:textAlignment w:val="center"/>
              <w:rPr>
                <w:rFonts w:hint="eastAsia" w:ascii="宋体" w:hAnsi="宋体" w:cs="宋体"/>
                <w:kern w:val="0"/>
                <w:szCs w:val="21"/>
                <w:lang w:bidi="ar"/>
              </w:rPr>
            </w:pPr>
            <w:r>
              <w:rPr>
                <w:rFonts w:hint="eastAsia" w:ascii="宋体" w:hAnsi="宋体" w:cs="宋体"/>
                <w:kern w:val="0"/>
                <w:szCs w:val="21"/>
                <w:lang w:bidi="ar"/>
              </w:rPr>
              <w:t>对于医院</w:t>
            </w:r>
            <w:r>
              <w:rPr>
                <w:rFonts w:hint="eastAsia" w:ascii="宋体" w:hAnsi="宋体" w:cs="宋体"/>
                <w:kern w:val="0"/>
                <w:szCs w:val="21"/>
                <w:lang w:eastAsia="zh-CN" w:bidi="ar"/>
              </w:rPr>
              <w:t>医学工程部门</w:t>
            </w:r>
            <w:r>
              <w:rPr>
                <w:rFonts w:hint="eastAsia" w:ascii="宋体" w:hAnsi="宋体" w:cs="宋体"/>
                <w:kern w:val="0"/>
                <w:szCs w:val="21"/>
                <w:lang w:bidi="ar"/>
              </w:rPr>
              <w:t>技术人员遇到的设备技术难题，外包公司人员给予支持且及时解决的，每次加5分；</w:t>
            </w:r>
          </w:p>
          <w:p w14:paraId="3A34C690">
            <w:pPr>
              <w:widowControl/>
              <w:numPr>
                <w:ilvl w:val="0"/>
                <w:numId w:val="1"/>
              </w:numPr>
              <w:spacing w:line="360" w:lineRule="auto"/>
              <w:jc w:val="left"/>
              <w:textAlignment w:val="center"/>
              <w:rPr>
                <w:rFonts w:hint="eastAsia" w:ascii="宋体" w:hAnsi="宋体" w:cs="宋体"/>
                <w:kern w:val="0"/>
                <w:szCs w:val="21"/>
                <w:lang w:bidi="ar"/>
              </w:rPr>
            </w:pPr>
            <w:r>
              <w:rPr>
                <w:rFonts w:hint="eastAsia" w:ascii="宋体" w:hAnsi="宋体" w:cs="宋体"/>
                <w:szCs w:val="21"/>
              </w:rPr>
              <w:t>派驻人员受到用户口头表扬的每次加</w:t>
            </w:r>
            <w:r>
              <w:rPr>
                <w:rFonts w:ascii="宋体" w:hAnsi="宋体" w:cs="宋体"/>
                <w:szCs w:val="21"/>
              </w:rPr>
              <w:t>2</w:t>
            </w:r>
            <w:r>
              <w:rPr>
                <w:rFonts w:hint="eastAsia" w:ascii="宋体" w:hAnsi="宋体" w:cs="宋体"/>
                <w:szCs w:val="21"/>
              </w:rPr>
              <w:t>分，受到书面表扬的，每次加</w:t>
            </w:r>
            <w:r>
              <w:rPr>
                <w:rFonts w:ascii="宋体" w:hAnsi="宋体" w:cs="宋体"/>
                <w:szCs w:val="21"/>
              </w:rPr>
              <w:t>5</w:t>
            </w:r>
            <w:r>
              <w:rPr>
                <w:rFonts w:hint="eastAsia" w:ascii="宋体" w:hAnsi="宋体" w:cs="宋体"/>
                <w:szCs w:val="21"/>
              </w:rPr>
              <w:t>分；</w:t>
            </w:r>
          </w:p>
          <w:p w14:paraId="6848B9F1">
            <w:pPr>
              <w:widowControl/>
              <w:numPr>
                <w:ilvl w:val="0"/>
                <w:numId w:val="1"/>
              </w:numPr>
              <w:spacing w:line="360" w:lineRule="auto"/>
              <w:jc w:val="left"/>
              <w:textAlignment w:val="center"/>
              <w:rPr>
                <w:rFonts w:hint="eastAsia" w:ascii="宋体" w:hAnsi="宋体" w:cs="宋体"/>
                <w:kern w:val="0"/>
                <w:szCs w:val="21"/>
                <w:lang w:bidi="ar"/>
              </w:rPr>
            </w:pPr>
            <w:r>
              <w:rPr>
                <w:rFonts w:hint="eastAsia" w:ascii="宋体" w:hAnsi="宋体" w:cs="宋体"/>
                <w:szCs w:val="21"/>
              </w:rPr>
              <w:t>对医院突发事件，能提前作出预防措施或及时应对，未给院方工作造成影响的，每次加5分；</w:t>
            </w:r>
          </w:p>
          <w:p w14:paraId="2A9231A5">
            <w:pPr>
              <w:widowControl/>
              <w:numPr>
                <w:ilvl w:val="0"/>
                <w:numId w:val="1"/>
              </w:numPr>
              <w:spacing w:line="360" w:lineRule="auto"/>
              <w:jc w:val="left"/>
              <w:textAlignment w:val="center"/>
              <w:rPr>
                <w:rFonts w:hint="eastAsia" w:ascii="宋体" w:hAnsi="宋体" w:cs="宋体"/>
                <w:kern w:val="0"/>
                <w:szCs w:val="21"/>
                <w:lang w:bidi="ar"/>
              </w:rPr>
            </w:pPr>
            <w:r>
              <w:rPr>
                <w:rFonts w:hint="eastAsia" w:ascii="宋体" w:hAnsi="宋体" w:cs="宋体"/>
                <w:szCs w:val="21"/>
              </w:rPr>
              <w:t>如某月考核超过100分，则乙方有权将超过分数选择加到其它月份的考核成绩中。</w:t>
            </w:r>
          </w:p>
        </w:tc>
      </w:tr>
    </w:tbl>
    <w:p w14:paraId="451A6917"/>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Segoe UI">
    <w:panose1 w:val="020B0502040204020203"/>
    <w:charset w:val="00"/>
    <w:family w:val="auto"/>
    <w:pitch w:val="default"/>
    <w:sig w:usb0="E4002EFF" w:usb1="C000E47F"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70C8FC"/>
    <w:multiLevelType w:val="singleLevel"/>
    <w:tmpl w:val="E870C8FC"/>
    <w:lvl w:ilvl="0" w:tentative="0">
      <w:start w:val="15"/>
      <w:numFmt w:val="decimal"/>
      <w:lvlText w:val="%1."/>
      <w:lvlJc w:val="left"/>
      <w:pPr>
        <w:tabs>
          <w:tab w:val="left" w:pos="312"/>
        </w:tabs>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System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6164DA9"/>
    <w:rsid w:val="02BE3A7E"/>
    <w:rsid w:val="06BE6A5C"/>
    <w:rsid w:val="0A2543E3"/>
    <w:rsid w:val="0AD32692"/>
    <w:rsid w:val="1109192F"/>
    <w:rsid w:val="17742506"/>
    <w:rsid w:val="1C475EB1"/>
    <w:rsid w:val="22850432"/>
    <w:rsid w:val="2D6B7AAF"/>
    <w:rsid w:val="2EE45D6B"/>
    <w:rsid w:val="34E500D8"/>
    <w:rsid w:val="3E9E394C"/>
    <w:rsid w:val="45D01390"/>
    <w:rsid w:val="46164DA9"/>
    <w:rsid w:val="471E5E67"/>
    <w:rsid w:val="493A36B0"/>
    <w:rsid w:val="4D8B371E"/>
    <w:rsid w:val="4DB254C2"/>
    <w:rsid w:val="4DE4148C"/>
    <w:rsid w:val="516E62F9"/>
    <w:rsid w:val="52BE22AC"/>
    <w:rsid w:val="56BD1C7B"/>
    <w:rsid w:val="617A5F38"/>
    <w:rsid w:val="63892462"/>
    <w:rsid w:val="717E0A0B"/>
    <w:rsid w:val="75047B9A"/>
    <w:rsid w:val="78CA10FB"/>
    <w:rsid w:val="79E87EA4"/>
    <w:rsid w:val="7BC52BB4"/>
    <w:rsid w:val="7CCA6D20"/>
    <w:rsid w:val="7FD62EB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7">
    <w:name w:val="Default Paragraph Font"/>
    <w:semiHidden/>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Body Text"/>
    <w:basedOn w:val="1"/>
    <w:next w:val="4"/>
    <w:qFormat/>
    <w:uiPriority w:val="0"/>
    <w:pPr>
      <w:spacing w:after="120"/>
    </w:pPr>
  </w:style>
  <w:style w:type="paragraph" w:styleId="4">
    <w:name w:val="Body Text First Indent 2"/>
    <w:basedOn w:val="5"/>
    <w:next w:val="1"/>
    <w:qFormat/>
    <w:uiPriority w:val="0"/>
    <w:pPr>
      <w:ind w:firstLine="420" w:firstLineChars="200"/>
    </w:pPr>
  </w:style>
  <w:style w:type="paragraph" w:styleId="5">
    <w:name w:val="Body Text Indent"/>
    <w:basedOn w:val="1"/>
    <w:qFormat/>
    <w:uiPriority w:val="0"/>
    <w:pPr>
      <w:ind w:firstLine="830" w:firstLineChars="352"/>
    </w:pPr>
    <w:rPr>
      <w:rFonts w:ascii="仿宋_GB2312" w:eastAsia="仿宋_GB2312"/>
      <w:kern w:val="0"/>
      <w:sz w:val="32"/>
      <w:szCs w:val="20"/>
    </w:rPr>
  </w:style>
  <w:style w:type="character" w:styleId="8">
    <w:name w:val="Strong"/>
    <w:basedOn w:val="7"/>
    <w:qFormat/>
    <w:uiPriority w:val="0"/>
    <w:rPr>
      <w:b/>
    </w:rPr>
  </w:style>
  <w:style w:type="paragraph" w:customStyle="1" w:styleId="9">
    <w:name w:val="List Paragraph"/>
    <w:basedOn w:val="1"/>
    <w:qFormat/>
    <w:uiPriority w:val="0"/>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3692</Words>
  <Characters>3765</Characters>
  <Lines>0</Lines>
  <Paragraphs>0</Paragraphs>
  <TotalTime>5</TotalTime>
  <ScaleCrop>false</ScaleCrop>
  <LinksUpToDate>false</LinksUpToDate>
  <CharactersWithSpaces>3793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2026-02-05T09:26:00Z</dcterms:created>
  <dc:creator>韦巧倩</dc:creator>
  <cp:lastModifiedBy>韦巧倩</cp:lastModifiedBy>
  <dcterms:modified xsi:type="dcterms:W3CDTF">2026-02-10T06:42:37Z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BA9E01117B874DDBAC57C47BA36E4339_13</vt:lpwstr>
  </property>
  <property fmtid="{D5CDD505-2E9C-101B-9397-08002B2CF9AE}" pid="4" name="KSOTemplateDocerSaveRecord">
    <vt:lpwstr>eyJoZGlkIjoiZDM3ZmUyYzg4YTk2Mjc1ZTE2ZjQ5NTlhNzJjMjE4MTQiLCJ1c2VySWQiOiI0NTg2MTU1MjIifQ==</vt:lpwstr>
  </property>
</Properties>
</file>